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bookmarkStart w:id="0" w:name="_GoBack"/>
      <w:bookmarkEnd w:id="0"/>
      <w:r w:rsidRPr="00035DFC">
        <w:rPr>
          <w:b/>
          <w:bCs/>
          <w:color w:val="auto"/>
          <w:sz w:val="20"/>
          <w:szCs w:val="20"/>
        </w:rPr>
        <w:t>Loosimine</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Enne iga mängu algust viiakse läbi loosimine. Loosimise võitjal on õigus valida kas pallinguõigust, väljakupoolt või pakkuda valikuõigust vastasele.</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b/>
          <w:bCs/>
          <w:color w:val="auto"/>
          <w:sz w:val="20"/>
          <w:szCs w:val="20"/>
        </w:rPr>
        <w:t>Palling</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Iga sett algab pallinguga paremalt väljakupoolelt (servialast). Pall peab lendama diagonaalselt vastuvõtja parempoolsele pallingualale.</w:t>
      </w:r>
      <w:r w:rsidRPr="00035DFC">
        <w:rPr>
          <w:color w:val="auto"/>
          <w:sz w:val="20"/>
          <w:szCs w:val="20"/>
        </w:rPr>
        <w:br/>
        <w:t>Pallingu sooritaja ja vastuvõtja peavad olema oma väljakupoolel diagonaalselt asetuvatel pallingualadel. Jalg ei tohi asetseda joonel. Pallingu ajal kuni löögi momendini ei tohi pallija ega vastuvõtja (ega nende partnerid paarismängus) muuta keha asendit ega tõsta jalgu (jalalaba osalist tõstmist ei loeta veaks).</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Pärast pallingut võivad mängijad asetuda oma väljakupoolel mistahes kohtadele.</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Pallija ei tohi pallida, kuni vastane pole palli vastuvõtuks valmis.</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Pallingu momendil ei tohi reketi raam tõusta kõrgemale vöö tasapinnast, reketi pea aga reketit hoidva käe randmest.</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Veel loetakse palling ebaõigeks, kui</w:t>
      </w:r>
    </w:p>
    <w:p w:rsidR="00035DFC" w:rsidRPr="00035DFC" w:rsidRDefault="00035DFC" w:rsidP="00035DFC">
      <w:pPr>
        <w:numPr>
          <w:ilvl w:val="0"/>
          <w:numId w:val="1"/>
        </w:num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pall ületas võrgu, kuid ei sattunud määratud väljakualasse vastaspoolel (piirile kukkunud pall loetakse sees olevaks);</w:t>
      </w:r>
    </w:p>
    <w:p w:rsidR="00035DFC" w:rsidRPr="00035DFC" w:rsidRDefault="00035DFC" w:rsidP="00035DFC">
      <w:pPr>
        <w:numPr>
          <w:ilvl w:val="0"/>
          <w:numId w:val="1"/>
        </w:num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pall ei ületanud võrku või puudutas kõrvalisi esemeid (kui pall puudutas pallingu järel võrku, aga lendas õigele pallingualale, loetakse palling õigeks);</w:t>
      </w:r>
    </w:p>
    <w:p w:rsidR="00035DFC" w:rsidRPr="00035DFC" w:rsidRDefault="00035DFC" w:rsidP="00035DFC">
      <w:pPr>
        <w:numPr>
          <w:ilvl w:val="0"/>
          <w:numId w:val="1"/>
        </w:num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pallija sooritas ebaõige liigutuse, katkestas hetkeks pallimise ning sundides sellega vastuvõtja liikvele, sooritas pallingu.</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Kui reket ei taba pallingul palli, ei loeta seda veaks. Kui aga reket puudutab palli, loetakse palling sooritatuks.</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Punkte saab palliv pool vastuvõtja mistahes vea puhul. Vastuvõttev pool võib võita vaid pallimisõiguse või pallimisjärjekorra muutuse (vt. paarismäng).</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b/>
          <w:bCs/>
          <w:color w:val="auto"/>
          <w:sz w:val="20"/>
          <w:szCs w:val="20"/>
        </w:rPr>
        <w:t>Punktimängimine</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Kui pall puudutas mängu ajal võrku ja lendas vastaspoolele, loetakse löök õigeks (seejuures ei loeta veaks, kui pall ületab võrgu tasapinna väljaspool külgjoont, kuid langeb väljaku piiridesse).</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Kui võrgu juures asuv mängija sooritab ülalt löögi, ei tohi vastane reketiga võrgu kohal blokeerida. Mängija võib tõsta reketi ainult näo kaitseks või püüdeks tabada võrgust eemal vastase löödud palli, kui ta sellega vastast ei sega.</w:t>
      </w:r>
    </w:p>
    <w:p w:rsidR="00035DFC" w:rsidRPr="00035DFC" w:rsidRDefault="00035DFC" w:rsidP="00035DFC">
      <w:p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Üldisteks vigadeks, mis põhjustavad pallinguõiguse või punkti kaotuse, loetakse kui</w:t>
      </w:r>
    </w:p>
    <w:p w:rsidR="00035DFC" w:rsidRPr="00035DFC" w:rsidRDefault="00035DFC" w:rsidP="00035DFC">
      <w:pPr>
        <w:numPr>
          <w:ilvl w:val="0"/>
          <w:numId w:val="2"/>
        </w:num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pall langeb väljapoole väljakupiire, ei ületa võrku, või puudutab lage, seinu jms.;</w:t>
      </w:r>
    </w:p>
    <w:p w:rsidR="00035DFC" w:rsidRPr="00035DFC" w:rsidRDefault="00035DFC" w:rsidP="00035DFC">
      <w:pPr>
        <w:numPr>
          <w:ilvl w:val="0"/>
          <w:numId w:val="2"/>
        </w:num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lüüakse vastaspoolel asuvat palli, seejuures ei loeta veaks reketi inertsist üle võrgu liikumist;</w:t>
      </w:r>
    </w:p>
    <w:p w:rsidR="00035DFC" w:rsidRPr="00035DFC" w:rsidRDefault="00035DFC" w:rsidP="00035DFC">
      <w:pPr>
        <w:numPr>
          <w:ilvl w:val="0"/>
          <w:numId w:val="2"/>
        </w:num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mängija riivab mängu ajal võrku;</w:t>
      </w:r>
    </w:p>
    <w:p w:rsidR="00035DFC" w:rsidRPr="00035DFC" w:rsidRDefault="00035DFC" w:rsidP="00035DFC">
      <w:pPr>
        <w:numPr>
          <w:ilvl w:val="0"/>
          <w:numId w:val="2"/>
        </w:num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mängija mistahes kehaosa või reketiga vastase väljakupoolt puudutab ja sellega vastast segab;</w:t>
      </w:r>
    </w:p>
    <w:p w:rsidR="00035DFC" w:rsidRPr="00035DFC" w:rsidRDefault="00035DFC" w:rsidP="00035DFC">
      <w:pPr>
        <w:numPr>
          <w:ilvl w:val="0"/>
          <w:numId w:val="2"/>
        </w:numPr>
        <w:spacing w:before="100" w:beforeAutospacing="1" w:after="100" w:afterAutospacing="1" w:line="240" w:lineRule="auto"/>
        <w:rPr>
          <w:rFonts w:ascii="Times New Roman" w:hAnsi="Times New Roman" w:cs="Times New Roman"/>
          <w:color w:val="auto"/>
          <w:sz w:val="24"/>
          <w:szCs w:val="24"/>
        </w:rPr>
      </w:pPr>
      <w:r w:rsidRPr="00035DFC">
        <w:rPr>
          <w:color w:val="auto"/>
          <w:sz w:val="20"/>
          <w:szCs w:val="20"/>
        </w:rPr>
        <w:t>pall jääb reketile peatuma, hüpleb reketil või teda visatakse (nn soe pall).</w:t>
      </w:r>
    </w:p>
    <w:p w:rsidR="00035DFC" w:rsidRDefault="00035DFC" w:rsidP="00035DFC">
      <w:pPr>
        <w:pStyle w:val="Normaallaadveeb"/>
        <w:numPr>
          <w:ilvl w:val="0"/>
          <w:numId w:val="2"/>
        </w:numPr>
      </w:pPr>
      <w:r>
        <w:rPr>
          <w:rFonts w:ascii="Arial" w:hAnsi="Arial" w:cs="Arial"/>
          <w:b/>
          <w:bCs/>
          <w:sz w:val="20"/>
          <w:szCs w:val="20"/>
        </w:rPr>
        <w:lastRenderedPageBreak/>
        <w:t>Paarismäng</w:t>
      </w:r>
    </w:p>
    <w:p w:rsidR="00035DFC" w:rsidRDefault="00035DFC" w:rsidP="00035DFC">
      <w:pPr>
        <w:pStyle w:val="Normaallaadveeb"/>
        <w:numPr>
          <w:ilvl w:val="0"/>
          <w:numId w:val="2"/>
        </w:numPr>
      </w:pPr>
      <w:r>
        <w:rPr>
          <w:rFonts w:ascii="Arial" w:hAnsi="Arial" w:cs="Arial"/>
          <w:sz w:val="20"/>
          <w:szCs w:val="20"/>
        </w:rPr>
        <w:t>Sarnaselt üksikmängule peetakse ka paarismänge kas 15 punktini (mängu võitmiseks vaja 2 seti võitu) või 7 punktini (võiduks vaja 3 seti võitu).</w:t>
      </w:r>
    </w:p>
    <w:p w:rsidR="00035DFC" w:rsidRDefault="00035DFC" w:rsidP="00035DFC">
      <w:pPr>
        <w:pStyle w:val="Normaallaadveeb"/>
        <w:numPr>
          <w:ilvl w:val="0"/>
          <w:numId w:val="2"/>
        </w:numPr>
      </w:pPr>
      <w:r>
        <w:rPr>
          <w:rFonts w:ascii="Arial" w:hAnsi="Arial" w:cs="Arial"/>
          <w:sz w:val="20"/>
          <w:szCs w:val="20"/>
        </w:rPr>
        <w:t>Seti alguses otsustavad partnerid, kumb asub esimesena pallima (pallingut vastu võtma). Need mängijad võtavad koha sisse väljaku parempoolses osas.</w:t>
      </w:r>
      <w:r>
        <w:rPr>
          <w:rFonts w:ascii="Arial" w:hAnsi="Arial" w:cs="Arial"/>
          <w:sz w:val="20"/>
          <w:szCs w:val="20"/>
        </w:rPr>
        <w:br/>
        <w:t>Kui esimese pallingu järel eksis pallingut vastuvõttev pool, saab palliv pool punkti ja pallinud mängija jätkab pallimist, ainult juba vasakust pallingukastist vastaste teisele mängijale. Sedasi jätkatakse kuni pallijate esimese veani, peale mida läheb pallimisõigus (ja seega ka võimalus punkte saada) üle vastastele.</w:t>
      </w:r>
    </w:p>
    <w:p w:rsidR="00035DFC" w:rsidRDefault="00035DFC" w:rsidP="00035DFC">
      <w:pPr>
        <w:pStyle w:val="Normaallaadveeb"/>
        <w:numPr>
          <w:ilvl w:val="0"/>
          <w:numId w:val="2"/>
        </w:numPr>
      </w:pPr>
      <w:r>
        <w:rPr>
          <w:rFonts w:ascii="Arial" w:hAnsi="Arial" w:cs="Arial"/>
          <w:sz w:val="20"/>
          <w:szCs w:val="20"/>
        </w:rPr>
        <w:t>Peale pallimisõiguse võitmist pallib esimesena alati väljaku parempoolses kastis paiknev mängija (ja seda sõltumata punktiskoorist, lihtsalt paarisarvu punktide korral on selleks mängu alguseski esimesena pallinud või pallingut vastu võtnud mängija, paarituarvulise punktiskoori korral tema partner), punkti võitmisele järgneb palling kõrvalkastist nagu üksikmänguski. Et paarismängus osaleb kummaltki poolt kaks mängijat, on ka pallinguid mõlemale paarile ette nähtud kaks (va. seti alguses, kus pallimist alustanud pool kaotab pallimisõiguse kohe peale oma esimest eksimust). Seti käigus pallib esimene mängija kuni nende paari esimese eksimuseni (vahetades punkti võitmise järel pallimisdiagonaali), peale eksimust läheb pallimisõigus üle sama paari teisele mängijale, kes pallib kastist, kus ta oma partneri viimase pallingu ajal paiknes. Alles peale teist eksimust (teise pallingu kaotust) läheb pallimisõigus üle vastastele (seega tuleb paarismängus kord kaotatud pallimisõiguse tagasi saamiseks sundida vastased eksima kahel korral - nende esimesel ja teisel pallingul).</w:t>
      </w:r>
    </w:p>
    <w:p w:rsidR="00035DFC" w:rsidRDefault="00035DFC" w:rsidP="00035DFC">
      <w:pPr>
        <w:pStyle w:val="Normaallaadveeb"/>
        <w:numPr>
          <w:ilvl w:val="0"/>
          <w:numId w:val="2"/>
        </w:numPr>
      </w:pPr>
      <w:r>
        <w:rPr>
          <w:rFonts w:ascii="Arial" w:hAnsi="Arial" w:cs="Arial"/>
          <w:sz w:val="20"/>
          <w:szCs w:val="20"/>
        </w:rPr>
        <w:t>Pallija ja vastuvõtja partnerid võivad väljakul asetuda mistahes kohale, kui nad ei sega pallingut ega pallingu vastuvõtmist ja on liikumatud pallingu sooritamise momendil (kui pallija reket tabab palli).</w:t>
      </w:r>
    </w:p>
    <w:p w:rsidR="00035DFC" w:rsidRDefault="00035DFC" w:rsidP="00035DFC">
      <w:pPr>
        <w:pStyle w:val="Normaallaadveeb"/>
        <w:numPr>
          <w:ilvl w:val="0"/>
          <w:numId w:val="2"/>
        </w:numPr>
      </w:pPr>
      <w:r>
        <w:rPr>
          <w:rFonts w:ascii="Arial" w:hAnsi="Arial" w:cs="Arial"/>
          <w:sz w:val="20"/>
          <w:szCs w:val="20"/>
        </w:rPr>
        <w:t>Pärast pallingu vastuvõtmist järgnevad löögid sooritatakse mõlema poole ükskõik kumma mängija poolt. Riivab pall ühte mängijat või reketit, loetakse see veaks ja teine enam seda palli lüüa ei tohi.</w:t>
      </w:r>
    </w:p>
    <w:p w:rsidR="00A77B3E" w:rsidRPr="00035DFC" w:rsidRDefault="00035DFC">
      <w:pPr>
        <w:spacing w:line="240" w:lineRule="auto"/>
      </w:pPr>
      <w:r>
        <w:rPr>
          <w:sz w:val="20"/>
          <w:szCs w:val="20"/>
        </w:rPr>
        <w:t xml:space="preserve">Sulgpalli väljakul pikkusega 13,41 m ja laiusega 5,18 m (üksikmängus) või 6,1 m (paarismängus), mis on jagatud keskelt 1,55 m kõrguse võrguga kaheks (täpsemaid mõõte vt. </w:t>
      </w:r>
      <w:hyperlink r:id="rId7" w:tgtFrame="_top" w:history="1">
        <w:r>
          <w:rPr>
            <w:rStyle w:val="Hperlink"/>
            <w:rFonts w:eastAsiaTheme="majorEastAsia"/>
            <w:sz w:val="20"/>
            <w:szCs w:val="20"/>
          </w:rPr>
          <w:t>väljaku jooniselt</w:t>
        </w:r>
      </w:hyperlink>
      <w:r>
        <w:rPr>
          <w:sz w:val="20"/>
          <w:szCs w:val="20"/>
        </w:rPr>
        <w:t>).</w:t>
      </w:r>
    </w:p>
    <w:sectPr w:rsidR="00A77B3E" w:rsidRPr="00035DFC">
      <w:headerReference w:type="default" r:id="rId8"/>
      <w:pgSz w:w="11907" w:h="16840"/>
      <w:pgMar w:top="1701" w:right="1134" w:bottom="1701" w:left="2268"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65" w:rsidRDefault="00EA5765">
      <w:pPr>
        <w:spacing w:line="240" w:lineRule="auto"/>
      </w:pPr>
      <w:r>
        <w:separator/>
      </w:r>
    </w:p>
  </w:endnote>
  <w:endnote w:type="continuationSeparator" w:id="0">
    <w:p w:rsidR="00EA5765" w:rsidRDefault="00EA5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65" w:rsidRDefault="00EA5765">
      <w:pPr>
        <w:spacing w:line="240" w:lineRule="auto"/>
      </w:pPr>
      <w:r>
        <w:separator/>
      </w:r>
    </w:p>
  </w:footnote>
  <w:footnote w:type="continuationSeparator" w:id="0">
    <w:p w:rsidR="00EA5765" w:rsidRDefault="00EA57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531" w:rsidRDefault="00E00531">
    <w:pPr>
      <w:tabs>
        <w:tab w:val="center" w:pos="4320"/>
        <w:tab w:val="right" w:pos="8640"/>
      </w:tabs>
      <w:spacing w:line="240" w:lineRule="auto"/>
      <w:jc w:val="right"/>
      <w:rPr>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PAGE</w:instrText>
    </w:r>
    <w:r>
      <w:rPr>
        <w:rFonts w:ascii="Times New Roman" w:hAnsi="Times New Roman" w:cs="Times New Roman"/>
        <w:sz w:val="24"/>
        <w:szCs w:val="24"/>
        <w:lang w:val="en-US"/>
      </w:rPr>
      <w:fldChar w:fldCharType="separate"/>
    </w:r>
    <w:r w:rsidR="00030099">
      <w:rPr>
        <w:rFonts w:ascii="Times New Roman" w:hAnsi="Times New Roman" w:cs="Times New Roman"/>
        <w:noProof/>
        <w:sz w:val="24"/>
        <w:szCs w:val="24"/>
        <w:lang w:val="en-US"/>
      </w:rPr>
      <w:t>1</w:t>
    </w:r>
    <w:r>
      <w:rPr>
        <w:rFonts w:ascii="Times New Roman" w:hAnsi="Times New Roman" w:cs="Times New Roman"/>
        <w:sz w:val="24"/>
        <w:szCs w:val="24"/>
        <w:lang w:val="en-US"/>
      </w:rPr>
      <w:fldChar w:fldCharType="end"/>
    </w:r>
  </w:p>
  <w:p w:rsidR="00E00531" w:rsidRDefault="00E00531">
    <w:pPr>
      <w:tabs>
        <w:tab w:val="center" w:pos="4320"/>
        <w:tab w:val="right" w:pos="8640"/>
      </w:tabs>
      <w:spacing w:line="240" w:lineRule="auto"/>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17651"/>
    <w:multiLevelType w:val="multilevel"/>
    <w:tmpl w:val="E63E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777B4"/>
    <w:multiLevelType w:val="multilevel"/>
    <w:tmpl w:val="1E92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29"/>
    <w:rsid w:val="00030099"/>
    <w:rsid w:val="00035DFC"/>
    <w:rsid w:val="00047729"/>
    <w:rsid w:val="0023693D"/>
    <w:rsid w:val="0046294D"/>
    <w:rsid w:val="00A77B3E"/>
    <w:rsid w:val="00E00531"/>
    <w:rsid w:val="00E65DFD"/>
    <w:rsid w:val="00EA5765"/>
  </w:rsids>
  <m:mathPr>
    <m:mathFont m:val="Cambria Math"/>
    <m:brkBin m:val="before"/>
    <m:brkBinSub m:val="--"/>
    <m:smallFrac m:val="0"/>
    <m:dispDef/>
    <m:lMargin m:val="0"/>
    <m:rMargin m:val="0"/>
    <m:defJc m:val="centerGroup"/>
    <m:wrapRight/>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38E243-EDCE-4CC3-8785-EB8FE9E9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0"/>
    </w:pPr>
    <w:rPr>
      <w:rFonts w:ascii="Arial" w:hAnsi="Arial" w:cs="Arial"/>
      <w:color w:val="000000"/>
    </w:rPr>
  </w:style>
  <w:style w:type="paragraph" w:styleId="Pealkiri1">
    <w:name w:val="heading 1"/>
    <w:basedOn w:val="Normaallaad"/>
    <w:next w:val="Normaallaad"/>
    <w:link w:val="Pealkiri1Mrk"/>
    <w:uiPriority w:val="9"/>
    <w:qFormat/>
    <w:pPr>
      <w:keepNext/>
      <w:keepLines/>
      <w:spacing w:before="480" w:after="120"/>
      <w:outlineLvl w:val="0"/>
    </w:pPr>
    <w:rPr>
      <w:b/>
      <w:bCs/>
      <w:sz w:val="48"/>
      <w:szCs w:val="48"/>
    </w:rPr>
  </w:style>
  <w:style w:type="paragraph" w:styleId="Pealkiri2">
    <w:name w:val="heading 2"/>
    <w:basedOn w:val="Normaallaad"/>
    <w:next w:val="Normaallaad"/>
    <w:link w:val="Pealkiri2Mrk"/>
    <w:uiPriority w:val="9"/>
    <w:qFormat/>
    <w:pPr>
      <w:keepNext/>
      <w:keepLines/>
      <w:spacing w:before="360" w:after="80"/>
      <w:outlineLvl w:val="1"/>
    </w:pPr>
    <w:rPr>
      <w:b/>
      <w:bCs/>
      <w:sz w:val="36"/>
      <w:szCs w:val="36"/>
    </w:rPr>
  </w:style>
  <w:style w:type="paragraph" w:styleId="Pealkiri3">
    <w:name w:val="heading 3"/>
    <w:basedOn w:val="Normaallaad"/>
    <w:next w:val="Normaallaad"/>
    <w:link w:val="Pealkiri3Mrk"/>
    <w:uiPriority w:val="9"/>
    <w:qFormat/>
    <w:pPr>
      <w:keepNext/>
      <w:keepLines/>
      <w:spacing w:before="280" w:after="80"/>
      <w:outlineLvl w:val="2"/>
    </w:pPr>
    <w:rPr>
      <w:b/>
      <w:bCs/>
      <w:sz w:val="28"/>
      <w:szCs w:val="28"/>
    </w:rPr>
  </w:style>
  <w:style w:type="paragraph" w:styleId="Pealkiri4">
    <w:name w:val="heading 4"/>
    <w:basedOn w:val="Normaallaad"/>
    <w:next w:val="Normaallaad"/>
    <w:link w:val="Pealkiri4Mrk"/>
    <w:uiPriority w:val="9"/>
    <w:qFormat/>
    <w:pPr>
      <w:keepNext/>
      <w:keepLines/>
      <w:spacing w:before="240" w:after="40"/>
      <w:outlineLvl w:val="3"/>
    </w:pPr>
    <w:rPr>
      <w:b/>
      <w:bCs/>
      <w:sz w:val="24"/>
      <w:szCs w:val="24"/>
    </w:rPr>
  </w:style>
  <w:style w:type="paragraph" w:styleId="Pealkiri5">
    <w:name w:val="heading 5"/>
    <w:basedOn w:val="Normaallaad"/>
    <w:next w:val="Normaallaad"/>
    <w:link w:val="Pealkiri5Mrk"/>
    <w:uiPriority w:val="9"/>
    <w:qFormat/>
    <w:pPr>
      <w:keepNext/>
      <w:keepLines/>
      <w:spacing w:before="220" w:after="40"/>
      <w:outlineLvl w:val="4"/>
    </w:pPr>
    <w:rPr>
      <w:b/>
      <w:bCs/>
    </w:rPr>
  </w:style>
  <w:style w:type="paragraph" w:styleId="Pealkiri6">
    <w:name w:val="heading 6"/>
    <w:basedOn w:val="Normaallaad"/>
    <w:next w:val="Normaallaad"/>
    <w:link w:val="Pealkiri6Mrk"/>
    <w:uiPriority w:val="9"/>
    <w:qFormat/>
    <w:pPr>
      <w:keepNext/>
      <w:keepLines/>
      <w:spacing w:before="200" w:after="40"/>
      <w:outlineLvl w:val="5"/>
    </w:pPr>
    <w:rPr>
      <w:b/>
      <w:bCs/>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heme="majorBidi"/>
      <w:b/>
      <w:bCs/>
      <w:color w:val="000000"/>
      <w:kern w:val="32"/>
      <w:sz w:val="32"/>
      <w:szCs w:val="32"/>
    </w:rPr>
  </w:style>
  <w:style w:type="character" w:customStyle="1" w:styleId="Pealkiri2Mrk">
    <w:name w:val="Pealkiri 2 Märk"/>
    <w:basedOn w:val="Liguvaikefont"/>
    <w:link w:val="Pealkiri2"/>
    <w:uiPriority w:val="9"/>
    <w:semiHidden/>
    <w:locked/>
    <w:rPr>
      <w:rFonts w:asciiTheme="majorHAnsi" w:eastAsiaTheme="majorEastAsia" w:hAnsiTheme="majorHAnsi" w:cstheme="majorBidi"/>
      <w:b/>
      <w:bCs/>
      <w:i/>
      <w:iCs/>
      <w:color w:val="000000"/>
      <w:sz w:val="28"/>
      <w:szCs w:val="28"/>
    </w:rPr>
  </w:style>
  <w:style w:type="character" w:customStyle="1" w:styleId="Pealkiri3Mrk">
    <w:name w:val="Pealkiri 3 Märk"/>
    <w:basedOn w:val="Liguvaikefont"/>
    <w:link w:val="Pealkiri3"/>
    <w:uiPriority w:val="9"/>
    <w:semiHidden/>
    <w:locked/>
    <w:rPr>
      <w:rFonts w:asciiTheme="majorHAnsi" w:eastAsiaTheme="majorEastAsia" w:hAnsiTheme="majorHAnsi" w:cstheme="majorBidi"/>
      <w:b/>
      <w:bCs/>
      <w:color w:val="000000"/>
      <w:sz w:val="26"/>
      <w:szCs w:val="26"/>
    </w:rPr>
  </w:style>
  <w:style w:type="character" w:customStyle="1" w:styleId="Pealkiri4Mrk">
    <w:name w:val="Pealkiri 4 Märk"/>
    <w:basedOn w:val="Liguvaikefont"/>
    <w:link w:val="Pealkiri4"/>
    <w:uiPriority w:val="9"/>
    <w:semiHidden/>
    <w:locked/>
    <w:rPr>
      <w:rFonts w:asciiTheme="minorHAnsi" w:eastAsiaTheme="minorEastAsia" w:hAnsiTheme="minorHAnsi" w:cstheme="minorBidi"/>
      <w:b/>
      <w:bCs/>
      <w:color w:val="000000"/>
      <w:sz w:val="28"/>
      <w:szCs w:val="28"/>
    </w:rPr>
  </w:style>
  <w:style w:type="character" w:customStyle="1" w:styleId="Pealkiri5Mrk">
    <w:name w:val="Pealkiri 5 Märk"/>
    <w:basedOn w:val="Liguvaikefont"/>
    <w:link w:val="Pealkiri5"/>
    <w:uiPriority w:val="9"/>
    <w:semiHidden/>
    <w:locked/>
    <w:rPr>
      <w:rFonts w:asciiTheme="minorHAnsi" w:eastAsiaTheme="minorEastAsia" w:hAnsiTheme="minorHAnsi" w:cstheme="minorBidi"/>
      <w:b/>
      <w:bCs/>
      <w:i/>
      <w:iCs/>
      <w:color w:val="000000"/>
      <w:sz w:val="26"/>
      <w:szCs w:val="26"/>
    </w:rPr>
  </w:style>
  <w:style w:type="character" w:customStyle="1" w:styleId="Pealkiri6Mrk">
    <w:name w:val="Pealkiri 6 Märk"/>
    <w:basedOn w:val="Liguvaikefont"/>
    <w:link w:val="Pealkiri6"/>
    <w:uiPriority w:val="9"/>
    <w:semiHidden/>
    <w:locked/>
    <w:rPr>
      <w:rFonts w:asciiTheme="minorHAnsi" w:eastAsiaTheme="minorEastAsia" w:hAnsiTheme="minorHAnsi" w:cstheme="minorBidi"/>
      <w:b/>
      <w:bCs/>
      <w:color w:val="000000"/>
    </w:rPr>
  </w:style>
  <w:style w:type="paragraph" w:styleId="Pealkiri">
    <w:name w:val="Title"/>
    <w:basedOn w:val="Normaallaad"/>
    <w:link w:val="PealkiriMrk"/>
    <w:uiPriority w:val="10"/>
    <w:qFormat/>
    <w:pPr>
      <w:keepNext/>
      <w:keepLines/>
      <w:spacing w:before="480" w:after="120"/>
    </w:pPr>
    <w:rPr>
      <w:b/>
      <w:bCs/>
      <w:sz w:val="72"/>
      <w:szCs w:val="72"/>
    </w:rPr>
  </w:style>
  <w:style w:type="character" w:customStyle="1" w:styleId="PealkiriMrk">
    <w:name w:val="Pealkiri Märk"/>
    <w:basedOn w:val="Liguvaikefont"/>
    <w:link w:val="Pealkiri"/>
    <w:uiPriority w:val="10"/>
    <w:locked/>
    <w:rPr>
      <w:rFonts w:asciiTheme="majorHAnsi" w:eastAsiaTheme="majorEastAsia" w:hAnsiTheme="majorHAnsi" w:cstheme="majorBidi"/>
      <w:b/>
      <w:bCs/>
      <w:color w:val="000000"/>
      <w:kern w:val="28"/>
      <w:sz w:val="32"/>
      <w:szCs w:val="32"/>
    </w:rPr>
  </w:style>
  <w:style w:type="paragraph" w:styleId="Alapealkiri">
    <w:name w:val="Subtitle"/>
    <w:basedOn w:val="Normaallaad"/>
    <w:link w:val="AlapealkiriMrk"/>
    <w:uiPriority w:val="11"/>
    <w:qFormat/>
    <w:pPr>
      <w:keepNext/>
      <w:keepLines/>
      <w:spacing w:before="360" w:after="80"/>
    </w:pPr>
    <w:rPr>
      <w:rFonts w:ascii="Georgia" w:hAnsi="Georgia" w:cs="Georgia"/>
      <w:i/>
      <w:iCs/>
      <w:color w:val="666666"/>
      <w:sz w:val="48"/>
      <w:szCs w:val="48"/>
    </w:rPr>
  </w:style>
  <w:style w:type="character" w:customStyle="1" w:styleId="AlapealkiriMrk">
    <w:name w:val="Alapealkiri Märk"/>
    <w:basedOn w:val="Liguvaikefont"/>
    <w:link w:val="Alapealkiri"/>
    <w:uiPriority w:val="11"/>
    <w:locked/>
    <w:rPr>
      <w:rFonts w:asciiTheme="majorHAnsi" w:eastAsiaTheme="majorEastAsia" w:hAnsiTheme="majorHAnsi" w:cstheme="majorBidi"/>
      <w:color w:val="000000"/>
      <w:sz w:val="24"/>
      <w:szCs w:val="24"/>
    </w:rPr>
  </w:style>
  <w:style w:type="paragraph" w:styleId="Normaallaadveeb">
    <w:name w:val="Normal (Web)"/>
    <w:basedOn w:val="Normaallaad"/>
    <w:uiPriority w:val="99"/>
    <w:unhideWhenUsed/>
    <w:rsid w:val="00035DFC"/>
    <w:pPr>
      <w:spacing w:before="100" w:beforeAutospacing="1" w:after="100" w:afterAutospacing="1" w:line="240" w:lineRule="auto"/>
    </w:pPr>
    <w:rPr>
      <w:rFonts w:ascii="Times New Roman" w:hAnsi="Times New Roman" w:cs="Times New Roman"/>
      <w:color w:val="auto"/>
      <w:sz w:val="24"/>
      <w:szCs w:val="24"/>
    </w:rPr>
  </w:style>
  <w:style w:type="character" w:styleId="Hperlink">
    <w:name w:val="Hyperlink"/>
    <w:basedOn w:val="Liguvaikefont"/>
    <w:uiPriority w:val="99"/>
    <w:unhideWhenUsed/>
    <w:rsid w:val="00035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89311">
      <w:bodyDiv w:val="1"/>
      <w:marLeft w:val="0"/>
      <w:marRight w:val="0"/>
      <w:marTop w:val="0"/>
      <w:marBottom w:val="0"/>
      <w:divBdr>
        <w:top w:val="none" w:sz="0" w:space="0" w:color="auto"/>
        <w:left w:val="none" w:sz="0" w:space="0" w:color="auto"/>
        <w:bottom w:val="none" w:sz="0" w:space="0" w:color="auto"/>
        <w:right w:val="none" w:sz="0" w:space="0" w:color="auto"/>
      </w:divBdr>
    </w:div>
    <w:div w:id="18544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b.zone.ee/sulgpall/valja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4146</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ThunderStorm</dc:creator>
  <cp:keywords/>
  <dc:description/>
  <cp:lastModifiedBy>Heikki</cp:lastModifiedBy>
  <cp:revision>2</cp:revision>
  <cp:lastPrinted>2016-06-08T18:26:00Z</cp:lastPrinted>
  <dcterms:created xsi:type="dcterms:W3CDTF">2016-06-09T12:43:00Z</dcterms:created>
  <dcterms:modified xsi:type="dcterms:W3CDTF">2016-06-09T12:43:00Z</dcterms:modified>
</cp:coreProperties>
</file>